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05E6B99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9558F">
        <w:rPr>
          <w:noProof/>
        </w:rPr>
        <w:t xml:space="preserve">3) </w:t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089AFD3E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 xml:space="preserve">PROYECTO </w:t>
      </w:r>
      <w:r w:rsidR="005A15D8">
        <w:rPr>
          <w:b/>
          <w:sz w:val="20"/>
        </w:rPr>
        <w:t xml:space="preserve">INTEGRANDO LA </w:t>
      </w:r>
      <w:r w:rsidRPr="002709D6">
        <w:rPr>
          <w:b/>
          <w:sz w:val="20"/>
        </w:rPr>
        <w:t>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="00D85771">
        <w:rPr>
          <w:b/>
          <w:sz w:val="20"/>
        </w:rPr>
        <w:t>EN HONDURAS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</w:t>
      </w:r>
      <w:r w:rsidRPr="002709D6">
        <w:rPr>
          <w:b/>
          <w:sz w:val="20"/>
        </w:rPr>
        <w:t xml:space="preserve"> CONVENIO DE CRÉDITO No. IDA-6</w:t>
      </w:r>
      <w:r w:rsidR="00D85771">
        <w:rPr>
          <w:b/>
          <w:sz w:val="20"/>
        </w:rPr>
        <w:t>4</w:t>
      </w:r>
      <w:r w:rsidR="000C38BA">
        <w:rPr>
          <w:b/>
          <w:sz w:val="20"/>
        </w:rPr>
        <w:t>48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31614D68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I-SCI</w:t>
      </w:r>
      <w:r w:rsidR="009060B9" w:rsidRPr="00C20147">
        <w:rPr>
          <w:b/>
          <w:sz w:val="20"/>
          <w:lang w:val="en-US"/>
        </w:rPr>
        <w:t>-</w:t>
      </w:r>
      <w:r w:rsidR="00784FDC">
        <w:rPr>
          <w:b/>
          <w:sz w:val="20"/>
          <w:lang w:val="en-US"/>
        </w:rPr>
        <w:t>44</w:t>
      </w:r>
      <w:r w:rsidR="009060B9" w:rsidRPr="00C20147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24767F6C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</w:t>
      </w:r>
      <w:r w:rsidR="00693E07">
        <w:rPr>
          <w:bCs/>
          <w:sz w:val="20"/>
          <w:lang w:val="en-US"/>
        </w:rPr>
        <w:t>50</w:t>
      </w:r>
      <w:r w:rsidR="004853A2">
        <w:rPr>
          <w:bCs/>
          <w:sz w:val="20"/>
          <w:lang w:val="en-US"/>
        </w:rPr>
        <w:t>0873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0A22DA08" w:rsidR="009060B9" w:rsidRDefault="008875E8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 xml:space="preserve"> TÉCNICO</w:t>
      </w:r>
      <w:r w:rsidR="00CA4122">
        <w:rPr>
          <w:b/>
          <w:sz w:val="24"/>
          <w:szCs w:val="24"/>
          <w:u w:val="single"/>
        </w:rPr>
        <w:t xml:space="preserve"> </w:t>
      </w:r>
      <w:r w:rsidR="00B53A02">
        <w:rPr>
          <w:b/>
          <w:sz w:val="24"/>
          <w:szCs w:val="24"/>
          <w:u w:val="single"/>
        </w:rPr>
        <w:t>IN</w:t>
      </w:r>
      <w:r w:rsidR="00CA4122">
        <w:rPr>
          <w:b/>
          <w:sz w:val="24"/>
          <w:szCs w:val="24"/>
          <w:u w:val="single"/>
        </w:rPr>
        <w:t>FORMÁTICO EN SISTEMAS</w:t>
      </w:r>
      <w:r w:rsidR="00B53A02">
        <w:rPr>
          <w:b/>
          <w:sz w:val="24"/>
          <w:szCs w:val="24"/>
          <w:u w:val="single"/>
        </w:rPr>
        <w:t xml:space="preserve"> </w:t>
      </w:r>
      <w:r w:rsidR="00012268">
        <w:rPr>
          <w:b/>
          <w:sz w:val="24"/>
          <w:szCs w:val="24"/>
          <w:u w:val="single"/>
        </w:rPr>
        <w:t>DE INFORMACIÓN GERENCIAL (SIG)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2583DDB4" w14:textId="47E3BC06" w:rsidR="009060B9" w:rsidRDefault="008530D5" w:rsidP="00B808CF">
      <w:pPr>
        <w:jc w:val="both"/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 w:rsidR="00EF6D23">
        <w:rPr>
          <w:b/>
          <w:spacing w:val="-5"/>
          <w:sz w:val="20"/>
        </w:rPr>
        <w:t xml:space="preserve">Integrando la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 w:rsidR="00EF6D23">
        <w:rPr>
          <w:b/>
          <w:sz w:val="20"/>
        </w:rPr>
        <w:t xml:space="preserve"> en Honduras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8833C8">
        <w:rPr>
          <w:sz w:val="20"/>
        </w:rPr>
        <w:t>448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99558F">
        <w:rPr>
          <w:b/>
          <w:bCs/>
          <w:sz w:val="20"/>
        </w:rPr>
        <w:t>Técnico</w:t>
      </w:r>
      <w:r w:rsidR="006063F8">
        <w:rPr>
          <w:b/>
          <w:bCs/>
          <w:sz w:val="20"/>
        </w:rPr>
        <w:t xml:space="preserve"> Informático en Sistemas de Información Gerencial (</w:t>
      </w:r>
      <w:r w:rsidR="00857B4E">
        <w:rPr>
          <w:b/>
          <w:bCs/>
          <w:sz w:val="20"/>
        </w:rPr>
        <w:t>SIG)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080FB3" w:rsidRPr="00080FB3">
        <w:t xml:space="preserve"> </w:t>
      </w:r>
      <w:r w:rsidR="00080FB3">
        <w:t>b</w:t>
      </w:r>
      <w:r w:rsidR="00080FB3" w:rsidRPr="00080FB3">
        <w:rPr>
          <w:sz w:val="20"/>
        </w:rPr>
        <w:t>rindar asesoría para el funcionamiento de la plataforma informática, tecnologías y sistemas de Información Gerencial (SIG), y soporte técnico general del Proyecto.</w:t>
      </w:r>
      <w:r w:rsidR="00165DF6" w:rsidRPr="00165DF6">
        <w:t xml:space="preserve"> </w:t>
      </w:r>
    </w:p>
    <w:p w14:paraId="612058D2" w14:textId="77777777" w:rsidR="00B808CF" w:rsidRDefault="00B808CF" w:rsidP="00B808CF">
      <w:pPr>
        <w:jc w:val="both"/>
      </w:pPr>
    </w:p>
    <w:p w14:paraId="37AF9A57" w14:textId="2175211B" w:rsidR="00204D65" w:rsidRDefault="008530D5" w:rsidP="003F3DEC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3F3DEC">
      <w:pPr>
        <w:pStyle w:val="Textoindependiente"/>
        <w:ind w:left="262"/>
        <w:jc w:val="both"/>
        <w:rPr>
          <w:spacing w:val="-2"/>
        </w:rPr>
      </w:pPr>
    </w:p>
    <w:p w14:paraId="1F143356" w14:textId="77777777" w:rsidR="002E0ED0" w:rsidRPr="002E0ED0" w:rsidRDefault="002E0ED0" w:rsidP="002E0ED0">
      <w:pPr>
        <w:widowControl/>
        <w:autoSpaceDE/>
        <w:autoSpaceDN/>
        <w:ind w:left="567"/>
        <w:contextualSpacing/>
        <w:jc w:val="both"/>
        <w:rPr>
          <w:rFonts w:eastAsia="Tahoma"/>
          <w:b/>
          <w:lang w:val="es-HN" w:eastAsia="es-ES"/>
        </w:rPr>
      </w:pPr>
      <w:r w:rsidRPr="002E0ED0">
        <w:rPr>
          <w:rFonts w:eastAsia="Tahoma"/>
          <w:b/>
          <w:lang w:val="es-HN" w:eastAsia="es-ES"/>
        </w:rPr>
        <w:t>Formación Académica</w:t>
      </w:r>
    </w:p>
    <w:p w14:paraId="1DCAA70D" w14:textId="19E1D3B2" w:rsidR="002E0ED0" w:rsidRPr="002E0ED0" w:rsidRDefault="00570CA5" w:rsidP="00570CA5">
      <w:pPr>
        <w:autoSpaceDE/>
        <w:autoSpaceDN/>
        <w:spacing w:line="245" w:lineRule="auto"/>
        <w:ind w:left="567" w:right="59"/>
        <w:jc w:val="both"/>
        <w:rPr>
          <w:rFonts w:eastAsia="Tahoma"/>
          <w:lang w:val="es-HN" w:eastAsia="es-ES"/>
        </w:rPr>
      </w:pPr>
      <w:r w:rsidRPr="00570CA5">
        <w:rPr>
          <w:rFonts w:eastAsia="Tahoma"/>
          <w:color w:val="000000"/>
          <w:lang w:val="es-HN" w:eastAsia="es-ES"/>
        </w:rPr>
        <w:t>Ingeniería en Sistemas o Licenciatura en informática u otras afines al objetivo de la consultoría.</w:t>
      </w:r>
      <w:r>
        <w:rPr>
          <w:rFonts w:eastAsia="Tahoma"/>
          <w:color w:val="000000"/>
          <w:lang w:val="es-HN" w:eastAsia="es-ES"/>
        </w:rPr>
        <w:t xml:space="preserve"> </w:t>
      </w:r>
    </w:p>
    <w:p w14:paraId="3EE34A1C" w14:textId="77777777" w:rsidR="00570CA5" w:rsidRDefault="00570CA5" w:rsidP="002E0ED0">
      <w:pPr>
        <w:widowControl/>
        <w:autoSpaceDE/>
        <w:autoSpaceDN/>
        <w:ind w:left="567"/>
        <w:jc w:val="both"/>
        <w:rPr>
          <w:rFonts w:eastAsia="Tahoma"/>
          <w:b/>
          <w:lang w:val="es-HN" w:eastAsia="es-ES"/>
        </w:rPr>
      </w:pPr>
    </w:p>
    <w:p w14:paraId="027768E1" w14:textId="48820414" w:rsidR="002E0ED0" w:rsidRPr="002E0ED0" w:rsidRDefault="002E0ED0" w:rsidP="002E0ED0">
      <w:pPr>
        <w:widowControl/>
        <w:autoSpaceDE/>
        <w:autoSpaceDN/>
        <w:ind w:left="567"/>
        <w:jc w:val="both"/>
        <w:rPr>
          <w:rFonts w:eastAsia="Tahoma"/>
          <w:b/>
          <w:lang w:val="es-HN" w:eastAsia="es-ES"/>
        </w:rPr>
      </w:pPr>
      <w:r w:rsidRPr="002E0ED0">
        <w:rPr>
          <w:rFonts w:eastAsia="Tahoma"/>
          <w:b/>
          <w:lang w:val="es-HN" w:eastAsia="es-ES"/>
        </w:rPr>
        <w:t>Experiencia General</w:t>
      </w:r>
    </w:p>
    <w:p w14:paraId="0F6DAA5F" w14:textId="073704CB" w:rsidR="002E0ED0" w:rsidRPr="004A29F9" w:rsidRDefault="004A29F9" w:rsidP="004A29F9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709" w:hanging="142"/>
        <w:jc w:val="both"/>
        <w:rPr>
          <w:rFonts w:eastAsia="Tahoma"/>
          <w:bCs/>
          <w:lang w:val="es-HN" w:eastAsia="es-ES"/>
        </w:rPr>
      </w:pPr>
      <w:r w:rsidRPr="004A29F9">
        <w:rPr>
          <w:rFonts w:eastAsia="Tahoma"/>
          <w:kern w:val="2"/>
          <w:lang w:val="es-HN"/>
          <w14:ligatures w14:val="standardContextual"/>
        </w:rPr>
        <w:t>Experiencia mínima de cinco (5) años en el desarrollo e implementación de sistemas de información gerencial y/o programador.</w:t>
      </w:r>
    </w:p>
    <w:p w14:paraId="21D7C040" w14:textId="77777777" w:rsidR="0072349B" w:rsidRPr="0072349B" w:rsidRDefault="0072349B" w:rsidP="00024E50">
      <w:pPr>
        <w:widowControl/>
        <w:autoSpaceDE/>
        <w:autoSpaceDN/>
        <w:spacing w:after="160" w:line="259" w:lineRule="auto"/>
        <w:ind w:firstLine="567"/>
        <w:rPr>
          <w:rFonts w:eastAsia="Tahoma"/>
          <w:b/>
          <w:kern w:val="2"/>
          <w:lang w:val="es-HN"/>
          <w14:ligatures w14:val="standardContextual"/>
        </w:rPr>
      </w:pPr>
      <w:r w:rsidRPr="0072349B">
        <w:rPr>
          <w:rFonts w:eastAsia="Tahoma"/>
          <w:b/>
          <w:kern w:val="2"/>
          <w:lang w:val="es-HN"/>
          <w14:ligatures w14:val="standardContextual"/>
        </w:rPr>
        <w:t>Experiencia Especifica</w:t>
      </w:r>
    </w:p>
    <w:p w14:paraId="5C71B298" w14:textId="1136FAB0" w:rsidR="0072349B" w:rsidRPr="0072349B" w:rsidRDefault="0072349B" w:rsidP="00024E50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hanging="142"/>
        <w:jc w:val="both"/>
        <w:rPr>
          <w:rFonts w:eastAsia="Tahoma"/>
          <w:kern w:val="2"/>
          <w:lang w:val="es-HN"/>
          <w14:ligatures w14:val="standardContextual"/>
        </w:rPr>
      </w:pPr>
      <w:r w:rsidRPr="0072349B">
        <w:rPr>
          <w:rFonts w:eastAsia="Tahoma"/>
          <w:kern w:val="2"/>
          <w:lang w:val="es-HN"/>
          <w14:ligatures w14:val="standardContextual"/>
        </w:rPr>
        <w:t>Experiencia comprobada realizando manejo y administración de redes, de sistemas operativos de configuración de equipos de computación y sus paquetes de aplicación correspondientes y manejo de Servidores.</w:t>
      </w:r>
    </w:p>
    <w:p w14:paraId="10DD5C72" w14:textId="77777777" w:rsidR="0072349B" w:rsidRPr="0072349B" w:rsidRDefault="0072349B" w:rsidP="00024E50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709" w:hanging="142"/>
        <w:jc w:val="both"/>
        <w:rPr>
          <w:rFonts w:eastAsia="Tahoma"/>
          <w:kern w:val="2"/>
          <w:lang w:val="es-HN"/>
          <w14:ligatures w14:val="standardContextual"/>
        </w:rPr>
      </w:pPr>
      <w:r w:rsidRPr="0072349B">
        <w:rPr>
          <w:rFonts w:eastAsia="Tahoma"/>
          <w:kern w:val="2"/>
          <w:lang w:val="es-HN"/>
          <w14:ligatures w14:val="standardContextual"/>
        </w:rPr>
        <w:t xml:space="preserve">Experiencia demostrada con los programas siguientes: Visual Basic, Visual Studio, Java, </w:t>
      </w:r>
      <w:proofErr w:type="spellStart"/>
      <w:r w:rsidRPr="0072349B">
        <w:rPr>
          <w:rFonts w:eastAsia="Tahoma"/>
          <w:kern w:val="2"/>
          <w:lang w:val="es-HN"/>
          <w14:ligatures w14:val="standardContextual"/>
        </w:rPr>
        <w:t>Typescript</w:t>
      </w:r>
      <w:proofErr w:type="spellEnd"/>
      <w:r w:rsidRPr="0072349B">
        <w:rPr>
          <w:rFonts w:eastAsia="Tahoma"/>
          <w:kern w:val="2"/>
          <w:lang w:val="es-HN"/>
          <w14:ligatures w14:val="standardContextual"/>
        </w:rPr>
        <w:t xml:space="preserve">, </w:t>
      </w:r>
      <w:proofErr w:type="spellStart"/>
      <w:r w:rsidRPr="0072349B">
        <w:rPr>
          <w:rFonts w:eastAsia="Tahoma"/>
          <w:kern w:val="2"/>
          <w:lang w:val="es-HN"/>
          <w14:ligatures w14:val="standardContextual"/>
        </w:rPr>
        <w:t>NodeJs</w:t>
      </w:r>
      <w:proofErr w:type="spellEnd"/>
      <w:r w:rsidRPr="0072349B">
        <w:rPr>
          <w:rFonts w:eastAsia="Tahoma"/>
          <w:kern w:val="2"/>
          <w:lang w:val="es-HN"/>
          <w14:ligatures w14:val="standardContextual"/>
        </w:rPr>
        <w:t xml:space="preserve">, </w:t>
      </w:r>
      <w:proofErr w:type="spellStart"/>
      <w:r w:rsidRPr="0072349B">
        <w:rPr>
          <w:rFonts w:eastAsia="Tahoma"/>
          <w:kern w:val="2"/>
          <w:lang w:val="es-HN"/>
          <w14:ligatures w14:val="standardContextual"/>
        </w:rPr>
        <w:t>Flutter</w:t>
      </w:r>
      <w:proofErr w:type="spellEnd"/>
      <w:r w:rsidRPr="0072349B">
        <w:rPr>
          <w:rFonts w:eastAsia="Tahoma"/>
          <w:kern w:val="2"/>
          <w:lang w:val="es-HN"/>
          <w14:ligatures w14:val="standardContextual"/>
        </w:rPr>
        <w:t>, Angular, PHP (al menos tres (3)).</w:t>
      </w:r>
    </w:p>
    <w:p w14:paraId="1730321F" w14:textId="77777777" w:rsidR="0072349B" w:rsidRPr="0072349B" w:rsidRDefault="0072349B" w:rsidP="00024E50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709" w:hanging="142"/>
        <w:jc w:val="both"/>
        <w:rPr>
          <w:rFonts w:eastAsia="Tahoma"/>
          <w:kern w:val="2"/>
          <w:lang w:val="es-HN"/>
          <w14:ligatures w14:val="standardContextual"/>
        </w:rPr>
      </w:pPr>
      <w:r w:rsidRPr="0072349B">
        <w:rPr>
          <w:rFonts w:eastAsia="Tahoma"/>
          <w:kern w:val="2"/>
          <w:lang w:val="es-HN"/>
          <w14:ligatures w14:val="standardContextual"/>
        </w:rPr>
        <w:t xml:space="preserve">Experiencia demostrada en diseño y manejo de bases de datos relacionales (MySQL y </w:t>
      </w:r>
      <w:proofErr w:type="spellStart"/>
      <w:r w:rsidRPr="0072349B">
        <w:rPr>
          <w:rFonts w:eastAsia="Tahoma"/>
          <w:kern w:val="2"/>
          <w:lang w:val="es-HN"/>
          <w14:ligatures w14:val="standardContextual"/>
        </w:rPr>
        <w:t>MsSQL</w:t>
      </w:r>
      <w:proofErr w:type="spellEnd"/>
      <w:r w:rsidRPr="0072349B">
        <w:rPr>
          <w:rFonts w:eastAsia="Tahoma"/>
          <w:kern w:val="2"/>
          <w:lang w:val="es-HN"/>
          <w14:ligatures w14:val="standardContextual"/>
        </w:rPr>
        <w:t>)</w:t>
      </w:r>
    </w:p>
    <w:p w14:paraId="58FFA93F" w14:textId="77777777" w:rsidR="00AF7B50" w:rsidRPr="00AF7B50" w:rsidRDefault="00AF7B50" w:rsidP="00787962">
      <w:pPr>
        <w:widowControl/>
        <w:numPr>
          <w:ilvl w:val="0"/>
          <w:numId w:val="12"/>
        </w:numPr>
        <w:tabs>
          <w:tab w:val="left" w:pos="360"/>
        </w:tabs>
        <w:autoSpaceDE/>
        <w:autoSpaceDN/>
        <w:ind w:hanging="153"/>
        <w:rPr>
          <w:rFonts w:eastAsia="Tahoma"/>
          <w:kern w:val="2"/>
          <w:lang w:val="es-HN"/>
          <w14:ligatures w14:val="standardContextual"/>
        </w:rPr>
      </w:pPr>
      <w:r w:rsidRPr="00AF7B50">
        <w:rPr>
          <w:rFonts w:eastAsia="Tahoma"/>
          <w:kern w:val="2"/>
          <w:lang w:val="es-HN"/>
          <w14:ligatures w14:val="standardContextual"/>
        </w:rPr>
        <w:t>Indicar experiencia en diseño y desarrollo de páginas web (adjuntar evidencia).</w:t>
      </w:r>
    </w:p>
    <w:p w14:paraId="79666822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236085C0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7DBE4CC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D70E0D0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B5E3289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125E3C6B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79D2BA7A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182B0CEB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4E5E5FFA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0AD91CF0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99D0D9F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002E9885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4020B946" w14:textId="77777777" w:rsidR="003D3ED1" w:rsidRDefault="003D3ED1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30CB771" w14:textId="169DD5D3" w:rsidR="00AF7B50" w:rsidRPr="00AF7B50" w:rsidRDefault="00AF7B50" w:rsidP="00AF7B50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  <w:r w:rsidRPr="00AF7B50">
        <w:rPr>
          <w:rFonts w:eastAsia="Tahoma"/>
          <w:b/>
          <w:kern w:val="2"/>
          <w:lang w:val="es-HN"/>
          <w14:ligatures w14:val="standardContextual"/>
        </w:rPr>
        <w:t>Demostrar conocimiento en otras herramientas informáticas</w:t>
      </w:r>
    </w:p>
    <w:p w14:paraId="79E656EB" w14:textId="77777777" w:rsidR="00AF7B50" w:rsidRPr="00AF7B50" w:rsidRDefault="00AF7B50" w:rsidP="00AF7B50">
      <w:pPr>
        <w:tabs>
          <w:tab w:val="left" w:pos="781"/>
        </w:tabs>
        <w:rPr>
          <w:rFonts w:eastAsia="Tahoma"/>
          <w:kern w:val="2"/>
          <w:lang w:val="es-HN"/>
          <w14:ligatures w14:val="standardContextual"/>
        </w:rPr>
      </w:pPr>
      <w:r w:rsidRPr="00AF7B50">
        <w:rPr>
          <w:rFonts w:eastAsia="Tahoma"/>
          <w:kern w:val="2"/>
          <w:lang w:val="es-HN"/>
          <w14:ligatures w14:val="standardContextual"/>
        </w:rPr>
        <w:t>Entorno Windows, Microsoft Office, Editor de imágenes, Editor de video, Diagramación, efectos especiales, SPSS, Acrobat, entre otros.</w:t>
      </w:r>
    </w:p>
    <w:p w14:paraId="6147CF6F" w14:textId="50FBD40F" w:rsidR="00204D65" w:rsidRDefault="008530D5" w:rsidP="003D3ED1">
      <w:pPr>
        <w:widowControl/>
        <w:autoSpaceDE/>
        <w:autoSpaceDN/>
        <w:spacing w:before="91" w:after="160" w:line="245" w:lineRule="exact"/>
        <w:ind w:left="709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DAD25" w14:textId="31ED23FD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70AC1340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764F98">
        <w:rPr>
          <w:b/>
          <w:color w:val="000000"/>
          <w:sz w:val="20"/>
          <w:u w:val="single"/>
          <w:shd w:val="clear" w:color="auto" w:fill="FAE3D4"/>
        </w:rPr>
        <w:t>0</w:t>
      </w:r>
      <w:r w:rsidR="008F4BBA">
        <w:rPr>
          <w:b/>
          <w:color w:val="000000"/>
          <w:sz w:val="20"/>
          <w:u w:val="single"/>
          <w:shd w:val="clear" w:color="auto" w:fill="FAE3D4"/>
        </w:rPr>
        <w:t>3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3D5E5F">
        <w:rPr>
          <w:b/>
          <w:color w:val="000000"/>
          <w:spacing w:val="-2"/>
          <w:sz w:val="20"/>
          <w:u w:val="single"/>
          <w:shd w:val="clear" w:color="auto" w:fill="FAE3D4"/>
        </w:rPr>
        <w:t>septiembre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3A4CD249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8F4BBA">
        <w:rPr>
          <w:spacing w:val="-2"/>
        </w:rP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21F88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7E2E"/>
    <w:multiLevelType w:val="multilevel"/>
    <w:tmpl w:val="638A1FE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DFF43BB"/>
    <w:multiLevelType w:val="multilevel"/>
    <w:tmpl w:val="2F50693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22417A"/>
    <w:multiLevelType w:val="multilevel"/>
    <w:tmpl w:val="2CC86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9EA69A2"/>
    <w:multiLevelType w:val="multilevel"/>
    <w:tmpl w:val="69708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065E0D"/>
    <w:multiLevelType w:val="hybridMultilevel"/>
    <w:tmpl w:val="A816EC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2"/>
  </w:num>
  <w:num w:numId="2" w16cid:durableId="1992438809">
    <w:abstractNumId w:val="0"/>
  </w:num>
  <w:num w:numId="3" w16cid:durableId="1588348009">
    <w:abstractNumId w:val="10"/>
  </w:num>
  <w:num w:numId="4" w16cid:durableId="149253495">
    <w:abstractNumId w:val="9"/>
  </w:num>
  <w:num w:numId="5" w16cid:durableId="152258855">
    <w:abstractNumId w:val="3"/>
  </w:num>
  <w:num w:numId="6" w16cid:durableId="1188445333">
    <w:abstractNumId w:val="11"/>
  </w:num>
  <w:num w:numId="7" w16cid:durableId="74594438">
    <w:abstractNumId w:val="6"/>
  </w:num>
  <w:num w:numId="8" w16cid:durableId="543567869">
    <w:abstractNumId w:val="4"/>
  </w:num>
  <w:num w:numId="9" w16cid:durableId="819081203">
    <w:abstractNumId w:val="8"/>
  </w:num>
  <w:num w:numId="10" w16cid:durableId="1598707115">
    <w:abstractNumId w:val="1"/>
  </w:num>
  <w:num w:numId="11" w16cid:durableId="1941915913">
    <w:abstractNumId w:val="5"/>
  </w:num>
  <w:num w:numId="12" w16cid:durableId="828063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2268"/>
    <w:rsid w:val="00017207"/>
    <w:rsid w:val="00023DF4"/>
    <w:rsid w:val="00024E50"/>
    <w:rsid w:val="00036F6A"/>
    <w:rsid w:val="00045A9E"/>
    <w:rsid w:val="00052E5A"/>
    <w:rsid w:val="00054B26"/>
    <w:rsid w:val="00076768"/>
    <w:rsid w:val="00080FB3"/>
    <w:rsid w:val="00090972"/>
    <w:rsid w:val="000A726D"/>
    <w:rsid w:val="000B416D"/>
    <w:rsid w:val="000B6FEF"/>
    <w:rsid w:val="000C38BA"/>
    <w:rsid w:val="000D2CBA"/>
    <w:rsid w:val="001258C3"/>
    <w:rsid w:val="00163731"/>
    <w:rsid w:val="00165DF6"/>
    <w:rsid w:val="0016605E"/>
    <w:rsid w:val="001770B3"/>
    <w:rsid w:val="001856DA"/>
    <w:rsid w:val="001A14BC"/>
    <w:rsid w:val="001D328F"/>
    <w:rsid w:val="001E2E13"/>
    <w:rsid w:val="001E49E2"/>
    <w:rsid w:val="00204D65"/>
    <w:rsid w:val="00215ACC"/>
    <w:rsid w:val="002206A8"/>
    <w:rsid w:val="00246843"/>
    <w:rsid w:val="002709D6"/>
    <w:rsid w:val="002741A8"/>
    <w:rsid w:val="00276458"/>
    <w:rsid w:val="00277EEE"/>
    <w:rsid w:val="002A2252"/>
    <w:rsid w:val="002B1DEE"/>
    <w:rsid w:val="002B50D5"/>
    <w:rsid w:val="002D529C"/>
    <w:rsid w:val="002E0ED0"/>
    <w:rsid w:val="002F1D87"/>
    <w:rsid w:val="0032245E"/>
    <w:rsid w:val="00324919"/>
    <w:rsid w:val="00351261"/>
    <w:rsid w:val="00357C1E"/>
    <w:rsid w:val="00361B62"/>
    <w:rsid w:val="003B5B13"/>
    <w:rsid w:val="003C432D"/>
    <w:rsid w:val="003D3ED1"/>
    <w:rsid w:val="003D5E5F"/>
    <w:rsid w:val="003D6897"/>
    <w:rsid w:val="003E5E0C"/>
    <w:rsid w:val="003E6E91"/>
    <w:rsid w:val="003E77EA"/>
    <w:rsid w:val="003F1BE1"/>
    <w:rsid w:val="003F3DEC"/>
    <w:rsid w:val="00423491"/>
    <w:rsid w:val="00441AE6"/>
    <w:rsid w:val="00451385"/>
    <w:rsid w:val="00455B69"/>
    <w:rsid w:val="00462A0E"/>
    <w:rsid w:val="00462EF5"/>
    <w:rsid w:val="00465583"/>
    <w:rsid w:val="0047728C"/>
    <w:rsid w:val="004853A2"/>
    <w:rsid w:val="004908AD"/>
    <w:rsid w:val="004A1E13"/>
    <w:rsid w:val="004A29F9"/>
    <w:rsid w:val="004A7831"/>
    <w:rsid w:val="004B2CEA"/>
    <w:rsid w:val="004B7ECE"/>
    <w:rsid w:val="004C4CDE"/>
    <w:rsid w:val="004C7FD6"/>
    <w:rsid w:val="004D4074"/>
    <w:rsid w:val="0052743E"/>
    <w:rsid w:val="00555494"/>
    <w:rsid w:val="00570CA5"/>
    <w:rsid w:val="00575E93"/>
    <w:rsid w:val="00594C03"/>
    <w:rsid w:val="005A15D8"/>
    <w:rsid w:val="005D5C56"/>
    <w:rsid w:val="005E3BAC"/>
    <w:rsid w:val="006063F8"/>
    <w:rsid w:val="00614475"/>
    <w:rsid w:val="00634CB6"/>
    <w:rsid w:val="006367DA"/>
    <w:rsid w:val="006414B3"/>
    <w:rsid w:val="006527FD"/>
    <w:rsid w:val="0067061E"/>
    <w:rsid w:val="0067186D"/>
    <w:rsid w:val="00671CAA"/>
    <w:rsid w:val="00681215"/>
    <w:rsid w:val="0069248E"/>
    <w:rsid w:val="00693E07"/>
    <w:rsid w:val="006962FC"/>
    <w:rsid w:val="006C2AD1"/>
    <w:rsid w:val="006C327C"/>
    <w:rsid w:val="006E27A5"/>
    <w:rsid w:val="006F7DA7"/>
    <w:rsid w:val="0072349B"/>
    <w:rsid w:val="00764F98"/>
    <w:rsid w:val="00772FC8"/>
    <w:rsid w:val="007762DC"/>
    <w:rsid w:val="007776CD"/>
    <w:rsid w:val="00784FDC"/>
    <w:rsid w:val="00787962"/>
    <w:rsid w:val="007B0BB1"/>
    <w:rsid w:val="007D5815"/>
    <w:rsid w:val="007F0D63"/>
    <w:rsid w:val="007F1AB6"/>
    <w:rsid w:val="007F3BCF"/>
    <w:rsid w:val="007F54F1"/>
    <w:rsid w:val="00852545"/>
    <w:rsid w:val="008530D5"/>
    <w:rsid w:val="00857B4E"/>
    <w:rsid w:val="008833C8"/>
    <w:rsid w:val="008875E8"/>
    <w:rsid w:val="008A04E6"/>
    <w:rsid w:val="008B72D2"/>
    <w:rsid w:val="008C269A"/>
    <w:rsid w:val="008F4BBA"/>
    <w:rsid w:val="009060B9"/>
    <w:rsid w:val="0091255D"/>
    <w:rsid w:val="00921F88"/>
    <w:rsid w:val="0095181B"/>
    <w:rsid w:val="0098604E"/>
    <w:rsid w:val="0099558F"/>
    <w:rsid w:val="009B09BF"/>
    <w:rsid w:val="009D0D2B"/>
    <w:rsid w:val="009E2A6D"/>
    <w:rsid w:val="00A10A63"/>
    <w:rsid w:val="00A30EA1"/>
    <w:rsid w:val="00A32E0D"/>
    <w:rsid w:val="00A73352"/>
    <w:rsid w:val="00A76EA7"/>
    <w:rsid w:val="00A84F09"/>
    <w:rsid w:val="00A864AC"/>
    <w:rsid w:val="00AD196B"/>
    <w:rsid w:val="00AF7B50"/>
    <w:rsid w:val="00B2142E"/>
    <w:rsid w:val="00B41397"/>
    <w:rsid w:val="00B47B87"/>
    <w:rsid w:val="00B53A02"/>
    <w:rsid w:val="00B54FBA"/>
    <w:rsid w:val="00B57E85"/>
    <w:rsid w:val="00B808CF"/>
    <w:rsid w:val="00B81247"/>
    <w:rsid w:val="00B95821"/>
    <w:rsid w:val="00BA098C"/>
    <w:rsid w:val="00BB2CD8"/>
    <w:rsid w:val="00BC6B6F"/>
    <w:rsid w:val="00BD1D89"/>
    <w:rsid w:val="00C06F39"/>
    <w:rsid w:val="00C20147"/>
    <w:rsid w:val="00C328F0"/>
    <w:rsid w:val="00C47D1F"/>
    <w:rsid w:val="00C6514C"/>
    <w:rsid w:val="00C717A2"/>
    <w:rsid w:val="00C96314"/>
    <w:rsid w:val="00CA4122"/>
    <w:rsid w:val="00CB66D8"/>
    <w:rsid w:val="00CC46CC"/>
    <w:rsid w:val="00CD7101"/>
    <w:rsid w:val="00CE0051"/>
    <w:rsid w:val="00D26D2A"/>
    <w:rsid w:val="00D81906"/>
    <w:rsid w:val="00D85771"/>
    <w:rsid w:val="00DA382E"/>
    <w:rsid w:val="00DA3F45"/>
    <w:rsid w:val="00DB4821"/>
    <w:rsid w:val="00DC3A97"/>
    <w:rsid w:val="00DF1325"/>
    <w:rsid w:val="00E366D5"/>
    <w:rsid w:val="00E44F9F"/>
    <w:rsid w:val="00E57CC9"/>
    <w:rsid w:val="00EA3083"/>
    <w:rsid w:val="00EA378F"/>
    <w:rsid w:val="00EB38C0"/>
    <w:rsid w:val="00EE0F07"/>
    <w:rsid w:val="00EF2D53"/>
    <w:rsid w:val="00EF33CD"/>
    <w:rsid w:val="00EF6D23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2</cp:revision>
  <cp:lastPrinted>2025-08-19T21:36:00Z</cp:lastPrinted>
  <dcterms:created xsi:type="dcterms:W3CDTF">2025-08-20T17:38:00Z</dcterms:created>
  <dcterms:modified xsi:type="dcterms:W3CDTF">2025-08-20T17:38:00Z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